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188 vom 5. August 2019</w:t>
      </w:r>
    </w:p>
    <w:p>
      <w:r>
        <w:t>FR Kantonsgericht, 2019-08-05, FR</w:t>
      </w:r>
    </w:p>
    <w:p>
      <w:r>
        <w:rPr>
          <w:b/>
        </w:rPr>
        <w:t xml:space="preserve">Quelle: </w:t>
      </w:r>
      <w:r>
        <w:t>https://mcp.opencaselaw.ch/entscheid/fr_gerichte_101 2019 188</w:t>
      </w:r>
    </w:p>
    <w:p>
      <w:r>
        <w:t>FR: FR_GERICHTE 101 2019 188 du 5 août 2019</w:t>
      </w:r>
    </w:p>
    <w:p>
      <w:r>
        <w:t>IT: FR_GERICHTE 101 2019 188 del 5 agosto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15</w:t>
      </w:r>
    </w:p>
    <w:p>
      <w:r>
        <w:t>jours, durant la moitié des jours fériés pour autant qu'ils ne soient pas inclus dans les semaines de vacances telles que définies ci-dessus. Le 13 février 2019, l'épouse a déposé une demande unilatérale de divorce. Apprenant que son épouse souhaitait déménager avec les enfants à E.________ (VS), l'époux a requis des mesures superprovisionnelles, lesquelles ont été admises le 31 mai 2019 par le Président. Ainsi, interdiction a été faite à la mère de modifier le lieu de résidence des enfants. De plus, le Service de l'enfance et de la jeunesse (ci-après: SEJ) a été mandaté aux fins d'évaluer la situation des enfants et de préaviser sur l'octroi de la garde ou d'une garde alternée et les modalités du droit de visite. Le 24 juin 2019, le Président a rendu des mesures provisionnelles. Il a révoqué l'interdiction faite à la mère de modifier le lieu de résidence des enfants, a confirmé le mandat délivré au SEJ et a modifié le droit de visite du père à un week-end sur deux, du vendredi à la fin de l'école au dimanche 19.00 heures, le mercredi après-midi dès la fin de l'école et jusqu'à 19.00 heures selon les disponibilités, 5 semaines durant les vacances scolaires, pour une durée maximale de 15 jours consécutifs et la moitié des jours fériés pour autant qu'ils ne soient pas inclus dans les semaines de vacances telles que définies ci-dessus. C. Le 4 juillet 2019, l'époux a interjeté appel auprès du Tribunal cantonal contre la décision du 24 juin 2019. Il conclut à ce que l'interdiction faite à la mère de modifier le lieu de résidence des enfants soit confirmée jusqu'à droit connu après le dépôt du rapport d'évaluation du SEJ, sous menace de la peine prévue par l'art. 292 CP, que son droit de visite continue à s'exercer tous les mardis soirs de 18.00 heures à 20.00 heures, tous les jeudis soirs de 18.00 heures jusqu'au vendredi à 15.00 heures, un week-end sur deux du vendredi à 15.00 heures jusqu'au lundi matin, 5 semaines durant les vacances scolaires, durant la moitié des jours fériés pour autant qu'ils ne soient pas inclus dans les semaines de vacances telles que définies ci-dessus. Subsidiairement, dans le cas où son épouse serait autorisée à modifier le lieu de résidence des enfants, il conclut à ce que son droit de visite s'exerce tous les jeudis soirs de 18.00 heures jusqu'au vendredi à</w:t>
      </w:r>
    </w:p>
    <w:p>
      <w:r>
        <w:rPr>
          <w:b/>
        </w:rPr>
        <w:t>E. 15.00</w:t>
      </w:r>
    </w:p>
    <w:p>
      <w:r>
        <w:t>heures, un week-end sur deux du vendredi à 15.00 heures jusqu'au lundi matin et 5 semaines durant les vacances scolaires. Pour sa part, la mère relève que la fille aînée est scolarisée le vendredi jusqu'à 15.05 heures et que la cadette sera à l'école la matinée. Ainsi, elle estime que le droit de visite fixé par l'autorité précédente est plus profitable tant pour les enfants que pour le père (réponse du 18 juillet 2019, p. 3 s.), sans cependant s'opposer de manière explicite à un droit de visite s'étendant du jeudi soir au vendredi. 3.2. La scolarisation des enfants en Valais n’apparaît pas compatible avec le droit de visite élargi que réclame le père du jeudi soir au vendredi à 15 heures. Il envisage certes de déménager en Valais pour être plus proche de C.________ et D.________. Lorsque cette perspective sera plus concrète, il pourra alors aborder le juge de la modification. 3.3. Il s’ensuit le rejet de l’appel. 4. 4.1. Aux termes de l'art. 106 al. 1 CPC, les frais doivent être mis à la charge de A.________, qui succombe. Ils comprennent notamment les frais de justice dus à l'Etat, fixés à CHF 1'000.-, qui seront prélevés sur son avance (art. 111 al. 1 CPC). 4.2.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d'appel de B.________ seront arrêtés globalement à la somme de CHF 1'500.-, débours compris, plus la TVA par CHF 115.50 (7.7 % de CHF 1'500.-).</w:t>
      </w:r>
    </w:p>
    <w:p>
      <w:r>
        <w:t>Tribunal cantonal TC Page 7 de 7 la Cour arrête : I. L'appel est rejeté. Partant, la décision du 24 juin 2019 rendue par le Président du Tribunal civil de la Veveyse est confirmée. II. Les frais d'appel sont mis à la charge de A.________. Ils comprennent les frais judiciaires dus à l'Etat, fixés à CHF 1'000.-, qui seront prélevés sur l'avance de frais qu'il a versée. Les dépens d'appel de B.________ sont fixés globalement à CHF 1'500.-, débours compris, mais TVA en sus par CHF 115.50.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août 2019/dhe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